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60"/>
      </w:pPr>
      <w:r>
        <w:rPr>
          <w:rFonts w:ascii="Aptos Display" w:hAnsi="Aptos Display"/>
          <w:b/>
          <w:color w:val="123D2B"/>
          <w:sz w:val="70"/>
        </w:rPr>
        <w:t>FORESTCARD GLOBAL</w:t>
      </w:r>
    </w:p>
    <w:p>
      <w:pPr>
        <w:spacing w:after="360"/>
      </w:pPr>
      <w:r>
        <w:rPr>
          <w:b/>
          <w:color w:val="F28C28"/>
          <w:sz w:val="42"/>
        </w:rPr>
        <w:t>Propuesta estratégica para FavaCard y Naranja 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EAF5EC"/>
            <w:tcBorders>
              <w:top w:val="single" w:sz="10" w:color="123D2B"/>
              <w:left w:val="single" w:sz="10" w:color="123D2B"/>
              <w:bottom w:val="single" w:sz="10" w:color="123D2B"/>
              <w:right w:val="single" w:sz="10" w:color="123D2B"/>
              <w:insideH w:val="single" w:sz="10" w:color="123D2B"/>
              <w:insideV w:val="single" w:sz="10" w:color="123D2B"/>
            </w:tcBorders>
          </w:tcPr>
          <w:p>
            <w:pPr>
              <w:spacing w:after="80"/>
            </w:pPr>
            <w:r>
              <w:rPr>
                <w:b/>
                <w:color w:val="123D2B"/>
                <w:sz w:val="20"/>
              </w:rPr>
              <w:t>IDEA RECTORA</w:t>
            </w:r>
          </w:p>
          <w:p>
            <w:pPr>
              <w:spacing w:after="40"/>
            </w:pPr>
            <w:r>
              <w:rPr>
                <w:sz w:val="21"/>
              </w:rPr>
              <w:t>Convertir una nueva línea de negocio financiero en una plataforma internacional de consumo, restauración ambiental verificable y posicionamiento de marca.</w:t>
            </w:r>
          </w:p>
        </w:tc>
      </w:tr>
    </w:tbl>
    <w:p/>
    <w:p>
      <w:pPr>
        <w:spacing w:after="160"/>
      </w:pPr>
      <w:r>
        <w:rPr>
          <w:b/>
          <w:color w:val="1F2933"/>
          <w:sz w:val="24"/>
        </w:rPr>
        <w:t>Internacionalización financiera + impacto climático medible + marketing global de alta penetración</w:t>
      </w:r>
    </w:p>
    <w:p>
      <w:pPr>
        <w:spacing w:after="160"/>
      </w:pPr>
      <w:r>
        <w:rPr>
          <w:color w:val="5D6B75"/>
          <w:sz w:val="21"/>
        </w:rPr>
        <w:t>Documento de presentación del modelo | Versión 1.0</w:t>
      </w:r>
    </w:p>
    <w:p>
      <w:pPr>
        <w:spacing w:after="160"/>
      </w:pPr>
      <w:r>
        <w:rPr>
          <w:color w:val="5D6B75"/>
          <w:sz w:val="21"/>
        </w:rPr>
        <w:t>17 de septiembre de 2026</w:t>
      </w:r>
    </w:p>
    <w:p/>
    <w:p>
      <w:r>
        <w:rPr>
          <w:b/>
          <w:color w:val="45A049"/>
        </w:rPr>
        <w:t>PROPONENTE</w:t>
      </w:r>
    </w:p>
    <w:p>
      <w:pPr>
        <w:pStyle w:val="BodyText"/>
      </w:pPr>
      <w:r>
        <w:t>SpaceArch Solutions International LLC</w:t>
      </w:r>
    </w:p>
    <w:p>
      <w:pPr>
        <w:pStyle w:val="BodyText"/>
      </w:pPr>
      <w:r>
        <w:t>Arq. Roberto Guillermo Gomes — CEO</w:t>
      </w:r>
    </w:p>
    <w:p>
      <w:r>
        <w:rPr>
          <w:i/>
          <w:color w:val="5D6B75"/>
          <w:sz w:val="17"/>
        </w:rPr>
        <w:t>Documento para conversación estratégica. No constituye oferta pública, garantía, compromiso bancario ni acuerdo vinculante.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Resumen ejecutivo</w:t>
      </w:r>
    </w:p>
    <w:p>
      <w:pPr>
        <w:pStyle w:val="Subtitle"/>
        <w:jc w:val="left"/>
      </w:pPr>
      <w:r>
        <w:t>Una nueva unidad de negocio diseñada para escalar con propósito</w:t>
      </w:r>
    </w:p>
    <w:p>
      <w:pPr>
        <w:pStyle w:val="BodyText"/>
      </w:pPr>
      <w:r>
        <w:t>ForestCard Global propone que FavaCard y Naranja X estudien su participación como socios fundadores argentinos de una plataforma financiera-climática internacional. El producto se concibe como una línea de negocio nueva e independiente: no afecta los beneficios de las operaciones actuales y asigna el 50% de su beneficio neto atribuible a ForestCard a restauración ambiental verificable.</w:t>
      </w:r>
    </w:p>
    <w:p>
      <w:pPr>
        <w:pStyle w:val="BodyText"/>
      </w:pPr>
      <w:r>
        <w:t>La innovación no reside solamente en donar. Consiste en convertir una parte del valor económico generado por el producto en una infraestructura de diferenciación comercial, adquisición de clientes, reputación, trazabilidad e impacto. Cada transacción ayuda a financiar resultados ambientales medibles; cada usuario puede observarlos; y cada institución construye un activo de marca asociado a ecosistemas restaurados.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FFF4E8"/>
            <w:tcBorders>
              <w:top w:val="single" w:sz="10" w:color="F28C28"/>
              <w:left w:val="single" w:sz="10" w:color="F28C28"/>
              <w:bottom w:val="single" w:sz="10" w:color="F28C28"/>
              <w:right w:val="single" w:sz="10" w:color="F28C28"/>
              <w:insideH w:val="single" w:sz="10" w:color="F28C28"/>
              <w:insideV w:val="single" w:sz="10" w:color="F28C28"/>
            </w:tcBorders>
          </w:tcPr>
          <w:p>
            <w:pPr>
              <w:spacing w:after="80"/>
            </w:pPr>
            <w:r>
              <w:rPr>
                <w:b/>
                <w:color w:val="F28C28"/>
                <w:sz w:val="20"/>
              </w:rPr>
              <w:t>PROPUESTA DE VALOR</w:t>
            </w:r>
          </w:p>
          <w:p>
            <w:pPr>
              <w:spacing w:after="40"/>
            </w:pPr>
            <w:r>
              <w:rPr>
                <w:sz w:val="21"/>
              </w:rPr>
              <w:t>FORESTCARD = internacionalización + nuevos clientes + rentabilidad responsable + impacto verificable + marketing global.</w:t>
            </w:r>
          </w:p>
        </w:tc>
      </w:tr>
    </w:tbl>
    <w:p>
      <w:pPr>
        <w:pStyle w:val="Heading2"/>
        <w:keepNext/>
      </w:pPr>
      <w:r>
        <w:t>Decisión solicitada</w:t>
      </w:r>
    </w:p>
    <w:p>
      <w:pPr>
        <w:pStyle w:val="BodyText"/>
      </w:pPr>
      <w:r>
        <w:t>Constituir un grupo de trabajo exploratorio de 60 a 90 días entre SpaceArch, FavaCard y Naranja X para validar el modelo económico, regulatorio, tecnológico, ambiental y societario del piloto argentino, mientras se inician conversaciones no vinculantes con instituciones financieras internacionales.</w:t>
      </w:r>
    </w:p>
    <w:p>
      <w:pPr>
        <w:pStyle w:val="Heading2"/>
        <w:keepNext/>
      </w:pPr>
      <w:r>
        <w:t>Resultado objetivo de los primeros 90 días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1. </w:t>
      </w:r>
      <w:r>
        <w:t>MOU SpaceArch–Fava–Naranja.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2. </w:t>
      </w:r>
      <w:r>
        <w:t>Concept Note para World Bank Group / IFC / MIGA.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3. </w:t>
      </w:r>
      <w:r>
        <w:t>Expression of Interest de FAB, Quantum u otra institución elegible.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4. </w:t>
      </w:r>
      <w:r>
        <w:t>ForestCard Argentina Pilot Term Sheet.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5. </w:t>
      </w:r>
      <w:r>
        <w:t>FORESTCARD GLOBAL — Strategic Proposal validada por los socios fundadores.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1. Oportunidad estratégica</w:t>
      </w:r>
    </w:p>
    <w:p>
      <w:pPr>
        <w:pStyle w:val="Subtitle"/>
        <w:jc w:val="left"/>
      </w:pPr>
      <w:r>
        <w:t>Del producto financiero local al protocolo global de impacto</w:t>
      </w:r>
    </w:p>
    <w:p>
      <w:pPr>
        <w:pStyle w:val="Heading2"/>
        <w:keepNext/>
      </w:pPr>
      <w:r>
        <w:t>El problema</w:t>
      </w:r>
    </w:p>
    <w:p>
      <w:pPr>
        <w:pStyle w:val="BodyText"/>
      </w:pPr>
      <w:r>
        <w:t>Las tarjetas, billeteras y fintechs compiten mediante precio, cuotas, descuentos, cashback y conveniencia. Estas ventajas son necesarias, pero copiables. Al mismo tiempo, los consumidores, empresas e inversores demandan evidencia de impacto, mientras aumenta el riesgo reputacional asociado al greenwashing.</w:t>
      </w:r>
    </w:p>
    <w:p>
      <w:pPr>
        <w:pStyle w:val="Heading2"/>
        <w:keepNext/>
      </w:pPr>
      <w:r>
        <w:t>La oportunidad</w:t>
      </w:r>
    </w:p>
    <w:p>
      <w:pPr>
        <w:pStyle w:val="BodyText"/>
      </w:pPr>
      <w:r>
        <w:t>ForestCard transforma el gasto corriente en una corriente recurrente de financiación ambiental sin presentarlo como filantropía aislada. La restauración pasa a formar parte del diseño económico, de la experiencia de usuario y de la narrativa de expansión internacional.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53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Modelo tradicional</w:t>
            </w:r>
          </w:p>
        </w:tc>
        <w:tc>
          <w:tcPr>
            <w:tcW w:type="dxa" w:w="453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ForestCard Global</w:t>
            </w:r>
          </w:p>
        </w:tc>
      </w:tr>
      <w:tr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Promociones de corta duración</w:t>
            </w:r>
          </w:p>
        </w:tc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Propósito acumulativo y visible</w:t>
            </w:r>
          </w:p>
        </w:tc>
      </w:tr>
      <w:tr>
        <w:tc>
          <w:tcPr>
            <w:tcW w:type="dxa" w:w="45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CAC publicitario que se agota</w:t>
            </w:r>
          </w:p>
        </w:tc>
        <w:tc>
          <w:tcPr>
            <w:tcW w:type="dxa" w:w="45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Impacto que produce contenido y recomendación</w:t>
            </w:r>
          </w:p>
        </w:tc>
      </w:tr>
      <w:tr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ESG corporativo distante</w:t>
            </w:r>
          </w:p>
        </w:tc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Trazabilidad personal por usuario</w:t>
            </w:r>
          </w:p>
        </w:tc>
      </w:tr>
      <w:tr>
        <w:tc>
          <w:tcPr>
            <w:tcW w:type="dxa" w:w="45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Marca financiera intercambiable</w:t>
            </w:r>
          </w:p>
        </w:tc>
        <w:tc>
          <w:tcPr>
            <w:tcW w:type="dxa" w:w="45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Identidad climática diferenciada</w:t>
            </w:r>
          </w:p>
        </w:tc>
      </w:tr>
      <w:tr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Expansión país por país</w:t>
            </w:r>
          </w:p>
        </w:tc>
        <w:tc>
          <w:tcPr>
            <w:tcW w:type="dxa" w:w="45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Protocolo licenciable con socios locales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Promesa defendible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EAF5EC"/>
            <w:tcBorders>
              <w:top w:val="single" w:sz="10" w:color="45A049"/>
              <w:left w:val="single" w:sz="10" w:color="45A049"/>
              <w:bottom w:val="single" w:sz="10" w:color="45A049"/>
              <w:right w:val="single" w:sz="10" w:color="45A049"/>
              <w:insideH w:val="single" w:sz="10" w:color="45A049"/>
              <w:insideV w:val="single" w:sz="10" w:color="45A049"/>
            </w:tcBorders>
          </w:tcPr>
          <w:p>
            <w:pPr>
              <w:spacing w:after="80"/>
            </w:pPr>
            <w:r>
              <w:rPr>
                <w:b/>
                <w:color w:val="45A049"/>
                <w:sz w:val="20"/>
              </w:rPr>
              <w:t>MENSAJE PÚBLICO RECOMENDADO</w:t>
            </w:r>
          </w:p>
          <w:p>
            <w:pPr>
              <w:spacing w:after="40"/>
            </w:pPr>
            <w:r>
              <w:rPr>
                <w:sz w:val="21"/>
              </w:rPr>
              <w:t>Cada compra ayuda a restaurar el planeta. Cada transacción genera una contribución ambiental calculable y auditable.</w:t>
            </w:r>
          </w:p>
        </w:tc>
      </w:tr>
    </w:tbl>
    <w:p>
      <w:pPr>
        <w:pStyle w:val="BodyText"/>
      </w:pPr>
      <w:r>
        <w:t>La comunicación no debe prometer que cada compra planta exactamente un árbol. El impacto dependerá del margen real, los costos operativos, la reserva, la especie, el territorio, el mantenimiento y la supervivencia. La precisión fortalece la propuesta y reduce riesgos legales y reputacionales.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2. Modelo económico</w:t>
      </w:r>
    </w:p>
    <w:p>
      <w:pPr>
        <w:pStyle w:val="Subtitle"/>
        <w:jc w:val="left"/>
      </w:pPr>
      <w:r>
        <w:t>Una unidad separada, medible y escalable</w:t>
      </w:r>
    </w:p>
    <w:p>
      <w:pPr>
        <w:pStyle w:val="Heading2"/>
        <w:keepNext/>
      </w:pPr>
      <w:r>
        <w:t>Principio de asignación</w:t>
      </w:r>
    </w:p>
    <w:p>
      <w:pPr>
        <w:pStyle w:val="BodyText"/>
      </w:pPr>
      <w:r>
        <w:t>El 50% se aplicaría al beneficio neto generado específicamente por ForestCard, después de costos directos, costos de red y procesamiento, fraude, mora, reservas, impuestos, operación, adquisición y otras deducciones acordadas. El método contable deberá definirse en el term sheet y auditarse periódicamente.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88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Destino</w:t>
            </w:r>
          </w:p>
        </w:tc>
        <w:tc>
          <w:tcPr>
            <w:tcW w:type="dxa" w:w="288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Participación indicativa</w:t>
            </w:r>
          </w:p>
        </w:tc>
        <w:tc>
          <w:tcPr>
            <w:tcW w:type="dxa" w:w="331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Finalidad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Reserva de impacto</w:t>
            </w:r>
          </w:p>
        </w:tc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50% del beneficio neto ForestCard</w:t>
            </w:r>
          </w:p>
        </w:tc>
        <w:tc>
          <w:tcPr>
            <w:tcW w:type="dxa" w:w="33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Restauración, mantenimiento, MRV y auditoría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Socios comerciales</w:t>
            </w:r>
          </w:p>
        </w:tc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50% del beneficio neto ForestCard</w:t>
            </w:r>
          </w:p>
        </w:tc>
        <w:tc>
          <w:tcPr>
            <w:tcW w:type="dxa" w:w="33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Retorno, reinversión, expansión y resiliencia operativa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Fuentes potenciales de ingreso</w:t>
      </w:r>
    </w:p>
    <w:p>
      <w:pPr>
        <w:pStyle w:val="ListBullet"/>
        <w:spacing w:after="80"/>
      </w:pPr>
      <w:r>
        <w:t>Intercambio, financiación, servicios y comisiones permitidas por cada jurisdicción.</w:t>
      </w:r>
    </w:p>
    <w:p>
      <w:pPr>
        <w:pStyle w:val="ListBullet"/>
        <w:spacing w:after="80"/>
      </w:pPr>
      <w:r>
        <w:t>Planes premium, alianzas comerciales, marketplace sostenible y beneficios patrocinados.</w:t>
      </w:r>
    </w:p>
    <w:p>
      <w:pPr>
        <w:pStyle w:val="ListBullet"/>
        <w:spacing w:after="80"/>
      </w:pPr>
      <w:r>
        <w:t>Licenciamiento de la plataforma ForestCard a emisores de otros países.</w:t>
      </w:r>
    </w:p>
    <w:p>
      <w:pPr>
        <w:pStyle w:val="ListBullet"/>
        <w:spacing w:after="80"/>
      </w:pPr>
      <w:r>
        <w:t>Servicios de medición, reporte y verificación de impacto para socios institucionales.</w:t>
      </w:r>
    </w:p>
    <w:p>
      <w:pPr>
        <w:pStyle w:val="ListBullet"/>
        <w:spacing w:after="80"/>
      </w:pPr>
      <w:r>
        <w:t>Programas corporativos co-branded y aportes voluntarios opt-in de usuarios.</w:t>
      </w:r>
    </w:p>
    <w:p>
      <w:pPr>
        <w:pStyle w:val="Heading2"/>
        <w:keepNext/>
      </w:pPr>
      <w:r>
        <w:t>Disciplina financiera</w:t>
      </w:r>
    </w:p>
    <w:p>
      <w:pPr>
        <w:pStyle w:val="BodyText"/>
      </w:pPr>
      <w:r>
        <w:t>La reserva ambiental no debe comprometer solvencia, protección del usuario ni cumplimiento regulatorio. La distribución se realizaría por períodos, sobre resultados realizados y auditables, con reglas de arrastre de pérdidas, reservas prudenciales y prohibición de contabilizar impacto antes del desembolso efectivo.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FFF4E8"/>
            <w:tcBorders>
              <w:top w:val="single" w:sz="10" w:color="F28C28"/>
              <w:left w:val="single" w:sz="10" w:color="F28C28"/>
              <w:bottom w:val="single" w:sz="10" w:color="F28C28"/>
              <w:right w:val="single" w:sz="10" w:color="F28C28"/>
              <w:insideH w:val="single" w:sz="10" w:color="F28C28"/>
              <w:insideV w:val="single" w:sz="10" w:color="F28C28"/>
            </w:tcBorders>
          </w:tcPr>
          <w:p>
            <w:pPr>
              <w:spacing w:after="80"/>
            </w:pPr>
            <w:r>
              <w:rPr>
                <w:b/>
                <w:color w:val="F28C28"/>
                <w:sz w:val="20"/>
              </w:rPr>
              <w:t>TESIS COMERCIAL</w:t>
            </w:r>
          </w:p>
          <w:p>
            <w:pPr>
              <w:spacing w:after="40"/>
            </w:pPr>
            <w:r>
              <w:rPr>
                <w:sz w:val="21"/>
              </w:rPr>
              <w:t>La contribución ambiental funciona simultáneamente como inversión en impacto, adquisición de clientes, diferenciación y construcción de marca; no como una reducción indiscriminada del negocio existente.</w:t>
            </w:r>
          </w:p>
        </w:tc>
      </w:tr>
    </w:tbl>
    <w:p>
      <w:r>
        <w:br w:type="page"/>
      </w:r>
    </w:p>
    <w:p>
      <w:pPr>
        <w:pStyle w:val="Title"/>
        <w:jc w:val="left"/>
      </w:pPr>
      <w:r>
        <w:rPr>
          <w:color w:val="123D2B"/>
        </w:rPr>
        <w:t>3. Arquitectura de actores</w:t>
      </w:r>
    </w:p>
    <w:p>
      <w:pPr>
        <w:pStyle w:val="Subtitle"/>
        <w:jc w:val="left"/>
      </w:pPr>
      <w:r>
        <w:t>Responsabilidades diferenciadas y sin superposición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843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Actor</w:t>
            </w:r>
          </w:p>
        </w:tc>
        <w:tc>
          <w:tcPr>
            <w:tcW w:type="dxa" w:w="3168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Papel propuesto</w:t>
            </w:r>
          </w:p>
        </w:tc>
        <w:tc>
          <w:tcPr>
            <w:tcW w:type="dxa" w:w="4061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Contribución principal</w:t>
            </w:r>
          </w:p>
        </w:tc>
      </w:tr>
      <w:tr>
        <w:tc>
          <w:tcPr>
            <w:tcW w:type="dxa" w:w="1843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SpaceArch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Propietario/desarrollador del concepto y plataforma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Marca, arquitectura, software, MRV, alianzas y expansión</w:t>
            </w:r>
          </w:p>
        </w:tc>
      </w:tr>
      <w:tr>
        <w:tc>
          <w:tcPr>
            <w:tcW w:type="dxa" w:w="1843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FavaCard</w:t>
            </w:r>
          </w:p>
        </w:tc>
        <w:tc>
          <w:tcPr>
            <w:tcW w:type="dxa" w:w="316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Founding Financial Partner / piloto</w:t>
            </w:r>
          </w:p>
        </w:tc>
        <w:tc>
          <w:tcPr>
            <w:tcW w:type="dxa" w:w="4061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Conocimiento regional, base comercial y validación ágil</w:t>
            </w:r>
          </w:p>
        </w:tc>
      </w:tr>
      <w:tr>
        <w:tc>
          <w:tcPr>
            <w:tcW w:type="dxa" w:w="1843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Naranja X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Founding Issuer / operador de escala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Infraestructura digital, distribución, experiencia de usuario y comercios</w:t>
            </w:r>
          </w:p>
        </w:tc>
      </w:tr>
      <w:tr>
        <w:tc>
          <w:tcPr>
            <w:tcW w:type="dxa" w:w="1843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World Bank Group / IFC / MIGA</w:t>
            </w:r>
          </w:p>
        </w:tc>
        <w:tc>
          <w:tcPr>
            <w:tcW w:type="dxa" w:w="316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Interlocución institucional potencial</w:t>
            </w:r>
          </w:p>
        </w:tc>
        <w:tc>
          <w:tcPr>
            <w:tcW w:type="dxa" w:w="4061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Evaluación de instrumentos aplicables para movilización de capital y mitigación de riesgos</w:t>
            </w:r>
          </w:p>
        </w:tc>
      </w:tr>
      <w:tr>
        <w:tc>
          <w:tcPr>
            <w:tcW w:type="dxa" w:w="1843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First Abu Dhabi Bank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Socio bancario MENA potencial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Estructuración, corporate banking, acceso regional e inversores</w:t>
            </w:r>
          </w:p>
        </w:tc>
      </w:tr>
      <w:tr>
        <w:tc>
          <w:tcPr>
            <w:tcW w:type="dxa" w:w="1843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Quantum Assets Bank</w:t>
            </w:r>
          </w:p>
        </w:tc>
        <w:tc>
          <w:tcPr>
            <w:tcW w:type="dxa" w:w="316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Socio financiero LatAm potencial</w:t>
            </w:r>
          </w:p>
        </w:tc>
        <w:tc>
          <w:tcPr>
            <w:tcW w:type="dxa" w:w="4061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Función a definir tras due diligence legal, regulatoria y operativa</w:t>
            </w:r>
          </w:p>
        </w:tc>
      </w:tr>
      <w:tr>
        <w:tc>
          <w:tcPr>
            <w:tcW w:type="dxa" w:w="1843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Operadores ambientales</w:t>
            </w:r>
          </w:p>
        </w:tc>
        <w:tc>
          <w:tcPr>
            <w:tcW w:type="dxa" w:w="316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Ejecutores independientes</w:t>
            </w:r>
          </w:p>
        </w:tc>
        <w:tc>
          <w:tcPr>
            <w:tcW w:type="dxa" w:w="4061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Plantación, restauración, mantenimiento, datos y evidencia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Regla institucional</w:t>
      </w:r>
    </w:p>
    <w:p>
      <w:pPr>
        <w:pStyle w:val="BodyText"/>
      </w:pPr>
      <w:r>
        <w:t>Las tres instituciones financieras no cumplen la misma función. World Bank Group/IFC/MIGA no debe presentarse como patrocinador ni garante del proyecto antes de una aprobación formal. FAB puede ser invitado a estudiar un rol de estructuración y acceso MENA. Quantum u otro actor regional solo debe recibir funciones concretas después de verificar licencias, jurisdicción, capacidad, cumplimiento y contraparte legal.</w:t>
      </w:r>
    </w:p>
    <w:p>
      <w:pPr>
        <w:pStyle w:val="Heading2"/>
        <w:keepNext/>
      </w:pPr>
      <w:r>
        <w:t>Autonomía competitiva</w:t>
      </w:r>
    </w:p>
    <w:p>
      <w:pPr>
        <w:pStyle w:val="BodyText"/>
      </w:pPr>
      <w:r>
        <w:t>FavaCard y Naranja X pueden ser socios fundadores sin fusionar operaciones ni compartir información comercial sensible. El consorcio definiría estándares comunes de marca, impacto, datos agregados y expansión, mientras cada entidad mantiene su estrategia, clientes, riesgo, pricing y cumplimiento.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4. ForestCard Impact</w:t>
      </w:r>
    </w:p>
    <w:p>
      <w:pPr>
        <w:pStyle w:val="Subtitle"/>
        <w:jc w:val="left"/>
      </w:pPr>
      <w:r>
        <w:t>Del relato ESG a la evidencia transaccional</w:t>
      </w:r>
    </w:p>
    <w:p>
      <w:pPr>
        <w:pStyle w:val="BodyText"/>
      </w:pPr>
      <w:r>
        <w:t>La plataforma digital debe vincular el desempeño financiero con el impacto sin exponer datos personales ni inducir equivalencias falsas. El usuario visualizaría una cadena de evidencia simple y compartible.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EAF5EC"/>
            <w:tcBorders>
              <w:top w:val="single" w:sz="10" w:color="45A049"/>
              <w:left w:val="single" w:sz="10" w:color="45A049"/>
              <w:bottom w:val="single" w:sz="10" w:color="45A049"/>
              <w:right w:val="single" w:sz="10" w:color="45A049"/>
              <w:insideH w:val="single" w:sz="10" w:color="45A049"/>
              <w:insideV w:val="single" w:sz="10" w:color="45A049"/>
            </w:tcBorders>
          </w:tcPr>
          <w:p>
            <w:pPr>
              <w:spacing w:after="80"/>
            </w:pPr>
            <w:r>
              <w:rPr>
                <w:b/>
                <w:color w:val="45A049"/>
                <w:sz w:val="20"/>
              </w:rPr>
              <w:t>EXPERIENCIA DEL USUARIO</w:t>
            </w:r>
          </w:p>
          <w:p>
            <w:pPr>
              <w:spacing w:after="40"/>
            </w:pPr>
            <w:r>
              <w:rPr>
                <w:sz w:val="21"/>
              </w:rPr>
              <w:t>Compras elegibles → contribución acumulada → fondo desembolsado → proyecto ejecutado → ubicación → mantenimiento → supervivencia → estimación climática.</w:t>
            </w:r>
          </w:p>
        </w:tc>
      </w:tr>
    </w:tbl>
    <w:p>
      <w:pPr>
        <w:pStyle w:val="Heading2"/>
        <w:keepNext/>
      </w:pPr>
      <w:r>
        <w:t>Contadores de impacto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80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Nivel</w:t>
            </w:r>
          </w:p>
        </w:tc>
        <w:tc>
          <w:tcPr>
            <w:tcW w:type="dxa" w:w="309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Ejemplo</w:t>
            </w:r>
          </w:p>
        </w:tc>
        <w:tc>
          <w:tcPr>
            <w:tcW w:type="dxa" w:w="417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Uso</w:t>
            </w:r>
          </w:p>
        </w:tc>
      </w:tr>
      <w:tr>
        <w:tc>
          <w:tcPr>
            <w:tcW w:type="dxa" w:w="180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Individual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Mi impacto ForestCard</w:t>
            </w:r>
          </w:p>
        </w:tc>
        <w:tc>
          <w:tcPr>
            <w:tcW w:type="dxa" w:w="417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Retención, educación y recomendación</w:t>
            </w:r>
          </w:p>
        </w:tc>
      </w:tr>
      <w:tr>
        <w:tc>
          <w:tcPr>
            <w:tcW w:type="dxa" w:w="180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Institucional</w:t>
            </w:r>
          </w:p>
        </w:tc>
        <w:tc>
          <w:tcPr>
            <w:tcW w:type="dxa" w:w="309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Fava Forest / Naranja Forest</w:t>
            </w:r>
          </w:p>
        </w:tc>
        <w:tc>
          <w:tcPr>
            <w:tcW w:type="dxa" w:w="417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Marca, reportes y campañas</w:t>
            </w:r>
          </w:p>
        </w:tc>
      </w:tr>
      <w:tr>
        <w:tc>
          <w:tcPr>
            <w:tcW w:type="dxa" w:w="180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Nacional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Argentina Forest</w:t>
            </w:r>
          </w:p>
        </w:tc>
        <w:tc>
          <w:tcPr>
            <w:tcW w:type="dxa" w:w="417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Agregación territorial y alianzas</w:t>
            </w:r>
          </w:p>
        </w:tc>
      </w:tr>
      <w:tr>
        <w:tc>
          <w:tcPr>
            <w:tcW w:type="dxa" w:w="180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Global</w:t>
            </w:r>
          </w:p>
        </w:tc>
        <w:tc>
          <w:tcPr>
            <w:tcW w:type="dxa" w:w="309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ForestCard Global</w:t>
            </w:r>
          </w:p>
        </w:tc>
        <w:tc>
          <w:tcPr>
            <w:tcW w:type="dxa" w:w="417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Expansión, licencias y reporte consolidado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Sistema MRV mínimo</w:t>
      </w:r>
    </w:p>
    <w:p>
      <w:pPr>
        <w:pStyle w:val="ListBullet"/>
        <w:spacing w:after="80"/>
      </w:pPr>
      <w:r>
        <w:t>Línea de base, georreferenciación y definición del tipo de intervención.</w:t>
      </w:r>
    </w:p>
    <w:p>
      <w:pPr>
        <w:pStyle w:val="ListBullet"/>
        <w:spacing w:after="80"/>
      </w:pPr>
      <w:r>
        <w:t>Especies apropiadas, titularidad y permisos sobre el territorio.</w:t>
      </w:r>
    </w:p>
    <w:p>
      <w:pPr>
        <w:pStyle w:val="ListBullet"/>
        <w:spacing w:after="80"/>
      </w:pPr>
      <w:r>
        <w:t>Evidencia de plantación, restauración o conservación y fecha de ejecución.</w:t>
      </w:r>
    </w:p>
    <w:p>
      <w:pPr>
        <w:pStyle w:val="ListBullet"/>
        <w:spacing w:after="80"/>
      </w:pPr>
      <w:r>
        <w:t>Tasas de supervivencia, reposición, mantenimiento y permanencia.</w:t>
      </w:r>
    </w:p>
    <w:p>
      <w:pPr>
        <w:pStyle w:val="ListBullet"/>
        <w:spacing w:after="80"/>
      </w:pPr>
      <w:r>
        <w:t>Auditoría independiente y metodología pública de cálculo.</w:t>
      </w:r>
    </w:p>
    <w:p>
      <w:pPr>
        <w:pStyle w:val="ListBullet"/>
        <w:spacing w:after="80"/>
      </w:pPr>
      <w:r>
        <w:t>Separación entre árboles financiados, árboles plantados y árboles sobrevivientes.</w:t>
      </w:r>
    </w:p>
    <w:p>
      <w:pPr>
        <w:pStyle w:val="ListBullet"/>
        <w:spacing w:after="80"/>
      </w:pPr>
      <w:r>
        <w:t>No emitir ni comercializar créditos de carbono sin metodología, adicionalidad, verificación y derechos claramente establecidos.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5. Piloto ForestCard Argentina</w:t>
      </w:r>
    </w:p>
    <w:p>
      <w:pPr>
        <w:pStyle w:val="Subtitle"/>
        <w:jc w:val="left"/>
      </w:pPr>
      <w:r>
        <w:t>Validar antes de escalar</w:t>
      </w:r>
    </w:p>
    <w:p>
      <w:pPr>
        <w:pStyle w:val="Heading2"/>
        <w:keepNext/>
      </w:pPr>
      <w:r>
        <w:t>Hipótesis del piloto</w:t>
      </w:r>
    </w:p>
    <w:p>
      <w:pPr>
        <w:pStyle w:val="BodyText"/>
      </w:pPr>
      <w:r>
        <w:t>Una tarjeta virtual o producto co-branded de alcance limitado puede demostrar si la propuesta mejora adquisición, activación, uso, permanencia y recomendación sin deteriorar la economía unitaria ni aumentar desproporcionadamente el riesgo.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87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Etapa</w:t>
            </w:r>
          </w:p>
        </w:tc>
        <w:tc>
          <w:tcPr>
            <w:tcW w:type="dxa" w:w="2088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Duración indicativa</w:t>
            </w:r>
          </w:p>
        </w:tc>
        <w:tc>
          <w:tcPr>
            <w:tcW w:type="dxa" w:w="511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Entregables</w:t>
            </w:r>
          </w:p>
        </w:tc>
      </w:tr>
      <w:tr>
        <w:tc>
          <w:tcPr>
            <w:tcW w:type="dxa" w:w="187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Diseño</w:t>
            </w:r>
          </w:p>
        </w:tc>
        <w:tc>
          <w:tcPr>
            <w:tcW w:type="dxa" w:w="208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0–90 días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MOU, term sheet, modelo financiero, mapa regulatorio y selección MRV</w:t>
            </w:r>
          </w:p>
        </w:tc>
      </w:tr>
      <w:tr>
        <w:tc>
          <w:tcPr>
            <w:tcW w:type="dxa" w:w="187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Construcción</w:t>
            </w:r>
          </w:p>
        </w:tc>
        <w:tc>
          <w:tcPr>
            <w:tcW w:type="dxa" w:w="208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3–6 meses</w:t>
            </w:r>
          </w:p>
        </w:tc>
        <w:tc>
          <w:tcPr>
            <w:tcW w:type="dxa" w:w="51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Producto mínimo, integraciones, contratos, controles y campaña</w:t>
            </w:r>
          </w:p>
        </w:tc>
      </w:tr>
      <w:tr>
        <w:tc>
          <w:tcPr>
            <w:tcW w:type="dxa" w:w="187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Lanzamiento</w:t>
            </w:r>
          </w:p>
        </w:tc>
        <w:tc>
          <w:tcPr>
            <w:tcW w:type="dxa" w:w="208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6–12 meses</w:t>
            </w:r>
          </w:p>
        </w:tc>
        <w:tc>
          <w:tcPr>
            <w:tcW w:type="dxa" w:w="51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Cohorte controlada de 10.000–100.000 usuarios</w:t>
            </w:r>
          </w:p>
        </w:tc>
      </w:tr>
      <w:tr>
        <w:tc>
          <w:tcPr>
            <w:tcW w:type="dxa" w:w="187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Evaluación</w:t>
            </w:r>
          </w:p>
        </w:tc>
        <w:tc>
          <w:tcPr>
            <w:tcW w:type="dxa" w:w="208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Mes 12</w:t>
            </w:r>
          </w:p>
        </w:tc>
        <w:tc>
          <w:tcPr>
            <w:tcW w:type="dxa" w:w="51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Auditoría económica, riesgo, impacto y decisión de expansión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KPIs de aprobación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23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Dimensión</w:t>
            </w:r>
          </w:p>
        </w:tc>
        <w:tc>
          <w:tcPr>
            <w:tcW w:type="dxa" w:w="684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Indicadores</w:t>
            </w:r>
          </w:p>
        </w:tc>
      </w:tr>
      <w:tr>
        <w:tc>
          <w:tcPr>
            <w:tcW w:type="dxa" w:w="223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Comercial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Solicitudes, aprobación, activación, CAC, volumen, recurrencia, NPS y churn</w:t>
            </w:r>
          </w:p>
        </w:tc>
      </w:tr>
      <w:tr>
        <w:tc>
          <w:tcPr>
            <w:tcW w:type="dxa" w:w="223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Financiera</w:t>
            </w:r>
          </w:p>
        </w:tc>
        <w:tc>
          <w:tcPr>
            <w:tcW w:type="dxa" w:w="684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Margen por usuario, costo de fondeo, mora, fraude, pérdida esperada y rentabilidad</w:t>
            </w:r>
          </w:p>
        </w:tc>
      </w:tr>
      <w:tr>
        <w:tc>
          <w:tcPr>
            <w:tcW w:type="dxa" w:w="223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Ambiental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Fondos asignados/desembolsados, hectáreas, árboles, supervivencia, costo por resultado</w:t>
            </w:r>
          </w:p>
        </w:tc>
      </w:tr>
      <w:tr>
        <w:tc>
          <w:tcPr>
            <w:tcW w:type="dxa" w:w="223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Reputacional</w:t>
            </w:r>
          </w:p>
        </w:tc>
        <w:tc>
          <w:tcPr>
            <w:tcW w:type="dxa" w:w="684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Alcance orgánico, participación, confianza, reclamos y validación de mensajes</w:t>
            </w:r>
          </w:p>
        </w:tc>
      </w:tr>
      <w:tr>
        <w:tc>
          <w:tcPr>
            <w:tcW w:type="dxa" w:w="223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Operativa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Disponibilidad, conciliación, trazabilidad, tiempos de reporte e incidentes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Criterio de escala</w:t>
      </w:r>
    </w:p>
    <w:p>
      <w:pPr>
        <w:pStyle w:val="BodyText"/>
      </w:pPr>
      <w:r>
        <w:t>No escalar por cantidad de tarjetas emitidas. Escalar cuando la cohorte demuestre uso recurrente, economía unitaria sostenible, riesgo controlado, evidencia ambiental verificable y aceptación reputacional.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6. Ruta de internacionalización</w:t>
      </w:r>
    </w:p>
    <w:p>
      <w:pPr>
        <w:pStyle w:val="Subtitle"/>
        <w:jc w:val="left"/>
      </w:pPr>
      <w:r>
        <w:t>Argentina como demostrador, no como límite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93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Fase</w:t>
            </w:r>
          </w:p>
        </w:tc>
        <w:tc>
          <w:tcPr>
            <w:tcW w:type="dxa" w:w="2448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Mercado</w:t>
            </w:r>
          </w:p>
        </w:tc>
        <w:tc>
          <w:tcPr>
            <w:tcW w:type="dxa" w:w="576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Objetivo</w:t>
            </w:r>
          </w:p>
        </w:tc>
      </w:tr>
      <w:tr>
        <w:tc>
          <w:tcPr>
            <w:tcW w:type="dxa" w:w="9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Argentina</w:t>
            </w:r>
          </w:p>
        </w:tc>
        <w:tc>
          <w:tcPr>
            <w:tcW w:type="dxa" w:w="576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Validar producto, economics, regulación y MRV</w:t>
            </w:r>
          </w:p>
        </w:tc>
      </w:tr>
      <w:tr>
        <w:tc>
          <w:tcPr>
            <w:tcW w:type="dxa" w:w="9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II</w:t>
            </w:r>
          </w:p>
        </w:tc>
        <w:tc>
          <w:tcPr>
            <w:tcW w:type="dxa" w:w="244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América Latina</w:t>
            </w:r>
          </w:p>
        </w:tc>
        <w:tc>
          <w:tcPr>
            <w:tcW w:type="dxa" w:w="576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Licenciar con emisores locales y adaptar biomas</w:t>
            </w:r>
          </w:p>
        </w:tc>
      </w:tr>
      <w:tr>
        <w:tc>
          <w:tcPr>
            <w:tcW w:type="dxa" w:w="93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III</w:t>
            </w:r>
          </w:p>
        </w:tc>
        <w:tc>
          <w:tcPr>
            <w:tcW w:type="dxa" w:w="2448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MENA / GCC</w:t>
            </w:r>
          </w:p>
        </w:tc>
        <w:tc>
          <w:tcPr>
            <w:tcW w:type="dxa" w:w="576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Estructurar alianzas financieras y proyectos contra desertificación</w:t>
            </w:r>
          </w:p>
        </w:tc>
      </w:tr>
      <w:tr>
        <w:tc>
          <w:tcPr>
            <w:tcW w:type="dxa" w:w="93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IV</w:t>
            </w:r>
          </w:p>
        </w:tc>
        <w:tc>
          <w:tcPr>
            <w:tcW w:type="dxa" w:w="2448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Global</w:t>
            </w:r>
          </w:p>
        </w:tc>
        <w:tc>
          <w:tcPr>
            <w:tcW w:type="dxa" w:w="576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Operar ForestCard como protocolo interoperable de impacto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Modelo de expansión recomendado</w:t>
      </w:r>
    </w:p>
    <w:p>
      <w:pPr>
        <w:pStyle w:val="BodyText"/>
      </w:pPr>
      <w:r>
        <w:t>SpaceArch no necesita convertirse en banco ni asumir el balance crediticio global. ForestCard Global debe operar como plataforma de propiedad intelectual, tecnología, estándares de impacto, comunicación y licenciamiento. Cada país incorpora un emisor regulado, un procesador, socios ambientales y auditores elegibles.</w:t>
      </w:r>
    </w:p>
    <w:p>
      <w:pPr>
        <w:pStyle w:val="Heading2"/>
        <w:keepNext/>
      </w:pPr>
      <w:r>
        <w:t>Adaptación territorial</w:t>
      </w:r>
    </w:p>
    <w:p>
      <w:pPr>
        <w:pStyle w:val="BodyText"/>
      </w:pPr>
      <w:r>
        <w:t>ForestCard no debe limitarse a forestación uniforme. Según el ecosistema, puede financiar restauración de bosques nativos, corredores biológicos, manglares, suelos, humedales, sistemas agroforestales o acciones contra desertificación. La unidad de comunicación podrá ser el árbol; la unidad técnica debe ser el resultado ecológico verificable.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FFF4E8"/>
            <w:tcBorders>
              <w:top w:val="single" w:sz="10" w:color="F28C28"/>
              <w:left w:val="single" w:sz="10" w:color="F28C28"/>
              <w:bottom w:val="single" w:sz="10" w:color="F28C28"/>
              <w:right w:val="single" w:sz="10" w:color="F28C28"/>
              <w:insideH w:val="single" w:sz="10" w:color="F28C28"/>
              <w:insideV w:val="single" w:sz="10" w:color="F28C28"/>
            </w:tcBorders>
          </w:tcPr>
          <w:p>
            <w:pPr>
              <w:spacing w:after="80"/>
            </w:pPr>
            <w:r>
              <w:rPr>
                <w:b/>
                <w:color w:val="F28C28"/>
                <w:sz w:val="20"/>
              </w:rPr>
              <w:t>VENTAJA DE PLATAFORMA</w:t>
            </w:r>
          </w:p>
          <w:p>
            <w:pPr>
              <w:spacing w:after="40"/>
            </w:pPr>
            <w:r>
              <w:rPr>
                <w:sz w:val="21"/>
              </w:rPr>
              <w:t>Un emisor local aporta regulación y distribución. ForestCard aporta una identidad global, reglas comunes y evidencia comparable. La escala se logra por licencias y alianzas, no por centralizar todo el riesgo financiero.</w:t>
            </w:r>
          </w:p>
        </w:tc>
      </w:tr>
    </w:tbl>
    <w:p>
      <w:r>
        <w:br w:type="page"/>
      </w:r>
    </w:p>
    <w:p>
      <w:pPr>
        <w:pStyle w:val="Title"/>
        <w:jc w:val="left"/>
      </w:pPr>
      <w:r>
        <w:rPr>
          <w:color w:val="123D2B"/>
        </w:rPr>
        <w:t>7. Gobernanza, riesgos y salvaguardas</w:t>
      </w:r>
    </w:p>
    <w:p>
      <w:pPr>
        <w:pStyle w:val="Subtitle"/>
        <w:jc w:val="left"/>
      </w:pPr>
      <w:r>
        <w:t>Credibilidad antes que velocidad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88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Riesgo</w:t>
            </w:r>
          </w:p>
        </w:tc>
        <w:tc>
          <w:tcPr>
            <w:tcW w:type="dxa" w:w="619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Salvaguarda propuesta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Greenwashing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Metodología pública, auditoría, mensajes conservadores y datos trazables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Ambigüedad del 50%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Definición contractual de beneficio neto ForestCard y política contable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Uso indebido de nombres bancarios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Aprobación escrita previa de toda mención, logo o supuesto respaldo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Regulación financiera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Emisión y crédito exclusivamente por entidades habilitadas en cada jurisdicción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Protección de datos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Privacidad por diseño, minimización, consentimiento y datos agregados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Riesgo ambiental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Diversidad de proyectos, mantenimiento, reposición y monitoreo de supervivencia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Conflicto entre socios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Gobierno del consorcio, materias reservadas, IP y salida definidos en MOU/contratos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Riesgo reputacional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Comité de integridad de impacto y protocolo de incidentes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Principios de gobierno</w:t>
      </w:r>
    </w:p>
    <w:p>
      <w:pPr>
        <w:pStyle w:val="ListBullet"/>
        <w:spacing w:after="80"/>
      </w:pPr>
      <w:r>
        <w:t>Trazabilidad: toda afirmación debe poder vincularse con evidencia.</w:t>
      </w:r>
    </w:p>
    <w:p>
      <w:pPr>
        <w:pStyle w:val="ListBullet"/>
        <w:spacing w:after="80"/>
      </w:pPr>
      <w:r>
        <w:t>Adicionalidad: el impacto financiado debe distinguirse del cumplimiento ordinario.</w:t>
      </w:r>
    </w:p>
    <w:p>
      <w:pPr>
        <w:pStyle w:val="ListBullet"/>
        <w:spacing w:after="80"/>
      </w:pPr>
      <w:r>
        <w:t>Independencia: validadores y auditores no deben depender del resultado comunicado.</w:t>
      </w:r>
    </w:p>
    <w:p>
      <w:pPr>
        <w:pStyle w:val="ListBullet"/>
        <w:spacing w:after="80"/>
      </w:pPr>
      <w:r>
        <w:t>Prudencia: no reconocer beneficios climáticos antes de su verificación.</w:t>
      </w:r>
    </w:p>
    <w:p>
      <w:pPr>
        <w:pStyle w:val="ListBullet"/>
        <w:spacing w:after="80"/>
      </w:pPr>
      <w:r>
        <w:t>Transparencia: publicar criterios, deducciones, costos y límites de las métricas.</w:t>
      </w:r>
    </w:p>
    <w:p>
      <w:pPr>
        <w:pStyle w:val="ListBullet"/>
        <w:spacing w:after="80"/>
      </w:pPr>
      <w:r>
        <w:t>Protección del consumidor: el propósito ambiental nunca justifica crédito inadecuado o prácticas abusivas.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8. Hoja de ruta de 90 días</w:t>
      </w:r>
    </w:p>
    <w:p>
      <w:pPr>
        <w:pStyle w:val="Subtitle"/>
        <w:jc w:val="left"/>
      </w:pPr>
      <w:r>
        <w:t>De la conversación al consorcio en estructuración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151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Período</w:t>
            </w:r>
          </w:p>
        </w:tc>
        <w:tc>
          <w:tcPr>
            <w:tcW w:type="dxa" w:w="4464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Acción</w:t>
            </w:r>
          </w:p>
        </w:tc>
        <w:tc>
          <w:tcPr>
            <w:tcW w:type="dxa" w:w="3096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Resultado</w:t>
            </w:r>
          </w:p>
        </w:tc>
      </w:tr>
      <w:tr>
        <w:tc>
          <w:tcPr>
            <w:tcW w:type="dxa" w:w="15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1–15</w:t>
            </w:r>
          </w:p>
        </w:tc>
        <w:tc>
          <w:tcPr>
            <w:tcW w:type="dxa" w:w="4464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Reuniones Fava, Naranja X y SpaceArch; NDA; designación de equipos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Mandato exploratorio</w:t>
            </w:r>
          </w:p>
        </w:tc>
      </w:tr>
      <w:tr>
        <w:tc>
          <w:tcPr>
            <w:tcW w:type="dxa" w:w="15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16–30</w:t>
            </w:r>
          </w:p>
        </w:tc>
        <w:tc>
          <w:tcPr>
            <w:tcW w:type="dxa" w:w="4464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Modelo económico, alcance de piloto, IP y mapa de riesgos</w:t>
            </w:r>
          </w:p>
        </w:tc>
        <w:tc>
          <w:tcPr>
            <w:tcW w:type="dxa" w:w="309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Base de negociación</w:t>
            </w:r>
          </w:p>
        </w:tc>
      </w:tr>
      <w:tr>
        <w:tc>
          <w:tcPr>
            <w:tcW w:type="dxa" w:w="15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31–45</w:t>
            </w:r>
          </w:p>
        </w:tc>
        <w:tc>
          <w:tcPr>
            <w:tcW w:type="dxa" w:w="4464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MOU tripartito y data room inicial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Consorcio fundador preliminar</w:t>
            </w:r>
          </w:p>
        </w:tc>
      </w:tr>
      <w:tr>
        <w:tc>
          <w:tcPr>
            <w:tcW w:type="dxa" w:w="15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46–60</w:t>
            </w:r>
          </w:p>
        </w:tc>
        <w:tc>
          <w:tcPr>
            <w:tcW w:type="dxa" w:w="4464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Concept Note WBG/IFC/MIGA y acercamientos a FAB/Quantum/alternativas</w:t>
            </w:r>
          </w:p>
        </w:tc>
        <w:tc>
          <w:tcPr>
            <w:tcW w:type="dxa" w:w="309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Interés institucional exploratorio</w:t>
            </w:r>
          </w:p>
        </w:tc>
      </w:tr>
      <w:tr>
        <w:tc>
          <w:tcPr>
            <w:tcW w:type="dxa" w:w="151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61–75</w:t>
            </w:r>
          </w:p>
        </w:tc>
        <w:tc>
          <w:tcPr>
            <w:tcW w:type="dxa" w:w="4464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Selección tecnológica, ambiental, auditoría y red de pagos</w:t>
            </w:r>
          </w:p>
        </w:tc>
        <w:tc>
          <w:tcPr>
            <w:tcW w:type="dxa" w:w="3096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Arquitectura operativa</w:t>
            </w:r>
          </w:p>
        </w:tc>
      </w:tr>
      <w:tr>
        <w:tc>
          <w:tcPr>
            <w:tcW w:type="dxa" w:w="151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Días 76–90</w:t>
            </w:r>
          </w:p>
        </w:tc>
        <w:tc>
          <w:tcPr>
            <w:tcW w:type="dxa" w:w="4464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Pilot Term Sheet, presupuesto, hitos y go/no-go</w:t>
            </w:r>
          </w:p>
        </w:tc>
        <w:tc>
          <w:tcPr>
            <w:tcW w:type="dxa" w:w="3096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Piloto listo para aprobación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Documentos del paquete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1. </w:t>
      </w:r>
      <w:r>
        <w:t>Documento de presentación del modelo — este documento.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2. </w:t>
      </w:r>
      <w:r>
        <w:t>MOU SpaceArch–Fava–Naranja — próximo documento.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3. </w:t>
      </w:r>
      <w:r>
        <w:t>Concept Note para World Bank Group / IFC / MIGA.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4. </w:t>
      </w:r>
      <w:r>
        <w:t>Expression of Interest para FAB, Quantum u otra institución.</w:t>
      </w:r>
    </w:p>
    <w:p>
      <w:pPr>
        <w:spacing w:after="100"/>
        <w:ind w:left="259" w:hanging="259"/>
      </w:pPr>
      <w:r>
        <w:rPr>
          <w:b/>
          <w:color w:val="123D2B"/>
        </w:rPr>
        <w:t xml:space="preserve">5. </w:t>
      </w:r>
      <w:r>
        <w:t>ForestCard Argentina Pilot Term Sheet.</w:t>
      </w:r>
    </w:p>
    <w:p>
      <w:pPr>
        <w:pStyle w:val="Heading2"/>
        <w:keepNext/>
      </w:pPr>
      <w:r>
        <w:t>Solicitud de reunión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EAF5EC"/>
            <w:tcBorders>
              <w:top w:val="single" w:sz="10" w:color="123D2B"/>
              <w:left w:val="single" w:sz="10" w:color="123D2B"/>
              <w:bottom w:val="single" w:sz="10" w:color="123D2B"/>
              <w:right w:val="single" w:sz="10" w:color="123D2B"/>
              <w:insideH w:val="single" w:sz="10" w:color="123D2B"/>
              <w:insideV w:val="single" w:sz="10" w:color="123D2B"/>
            </w:tcBorders>
          </w:tcPr>
          <w:p>
            <w:pPr>
              <w:spacing w:after="80"/>
            </w:pPr>
            <w:r>
              <w:rPr>
                <w:b/>
                <w:color w:val="123D2B"/>
                <w:sz w:val="20"/>
              </w:rPr>
              <w:t>PREGUNTA DE APERTURA</w:t>
            </w:r>
          </w:p>
          <w:p>
            <w:pPr>
              <w:spacing w:after="40"/>
            </w:pPr>
            <w:r>
              <w:rPr>
                <w:sz w:val="21"/>
              </w:rPr>
              <w:t>¿Qué ocurriría si dos empresas financieras argentinas pudieran convertir la sustentabilidad verificable en una plataforma real de expansión internacional?</w:t>
            </w:r>
          </w:p>
        </w:tc>
      </w:tr>
    </w:tbl>
    <w:p>
      <w:pPr>
        <w:pStyle w:val="BodyText"/>
      </w:pPr>
      <w:r>
        <w:t>Se propone una reunión ejecutiva de 60 minutos para acordar si existe interés común, identificar restricciones críticas y autorizar el grupo de trabajo de 90 días. La primera decisión no es lanzar una tarjeta global: es validar, en conjunto, si el modelo merece ser estructurado.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Apéndice A. Supuestos y puntos a negociar</w:t>
      </w:r>
    </w:p>
    <w:p>
      <w:pPr>
        <w:pStyle w:val="Subtitle"/>
        <w:jc w:val="left"/>
      </w:pPr>
      <w:r>
        <w:t>Base para el futuro MOU y el Pilot Term 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2880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Tema</w:t>
            </w:r>
          </w:p>
        </w:tc>
        <w:tc>
          <w:tcPr>
            <w:tcW w:type="dxa" w:w="6192"/>
            <w:vAlign w:val="center"/>
            <w:shd w:fill="123D2B"/>
            <w:tcBorders>
              <w:top w:val="single" w:sz="5" w:color="123D2B"/>
              <w:left w:val="single" w:sz="5" w:color="123D2B"/>
              <w:bottom w:val="single" w:sz="5" w:color="123D2B"/>
              <w:right w:val="single" w:sz="5" w:color="123D2B"/>
              <w:insideH w:val="single" w:sz="5" w:color="123D2B"/>
              <w:insideV w:val="single" w:sz="5" w:color="123D2B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Posición inicial propuesta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Propiedad ForestCard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SpaceArch conserva la IP de marca, arquitectura y plataforma; licencias sujetas a acuerdo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Socios fundadores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FavaCard y Naranja X reciben reconocimiento y derechos definidos por territorio/rol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Exclusividad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Limitada por plazo, territorio, desempeño e hitos; nunca global e indefinida por defecto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50% de beneficio neto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Solo ForestCard; fórmula detallada, auditable y con reservas prudenciales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Financiación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Ninguna entidad se considera comprometida hasta documentación formal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Datos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Cada emisor mantiene control legal; la plataforma recibe solo lo necesario y permitido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Impacto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Fondos segregados o claramente contabilizados; desembolsos contra proyectos elegibles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Créditos de carbono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Fuera del piloto salvo validación jurídica y metodológica específica</w:t>
            </w:r>
          </w:p>
        </w:tc>
      </w:tr>
      <w:tr>
        <w:tc>
          <w:tcPr>
            <w:tcW w:type="dxa" w:w="2880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Gobierno</w:t>
            </w:r>
          </w:p>
        </w:tc>
        <w:tc>
          <w:tcPr>
            <w:tcW w:type="dxa" w:w="6192"/>
            <w:vAlign w:val="center"/>
            <w:shd w:fill="FFFFFF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Comité fundador, comité de riesgo/compliance y comité de integridad de impacto</w:t>
            </w:r>
          </w:p>
        </w:tc>
      </w:tr>
      <w:tr>
        <w:tc>
          <w:tcPr>
            <w:tcW w:type="dxa" w:w="2880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Salida</w:t>
            </w:r>
          </w:p>
        </w:tc>
        <w:tc>
          <w:tcPr>
            <w:tcW w:type="dxa" w:w="6192"/>
            <w:vAlign w:val="center"/>
            <w:shd w:fill="F4F7F5"/>
            <w:tcBorders>
              <w:top w:val="single" w:sz="5" w:color="D7E1DA"/>
              <w:left w:val="single" w:sz="5" w:color="D7E1DA"/>
              <w:bottom w:val="single" w:sz="5" w:color="D7E1DA"/>
              <w:right w:val="single" w:sz="5" w:color="D7E1DA"/>
              <w:insideH w:val="single" w:sz="5" w:color="D7E1DA"/>
              <w:insideV w:val="single" w:sz="5" w:color="D7E1DA"/>
            </w:tcBorders>
          </w:tcPr>
          <w:p>
            <w:pPr>
              <w:spacing w:after="40"/>
            </w:pPr>
            <w:r/>
            <w:r>
              <w:rPr>
                <w:rFonts w:ascii="Aptos" w:hAnsi="Aptos"/>
                <w:b w:val="0"/>
                <w:color w:val="1F2933"/>
                <w:sz w:val="17"/>
              </w:rPr>
              <w:t>Derechos de terminación, continuidad de usuarios, uso de marca y tratamiento de datos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Información requerida para la fase siguiente</w:t>
      </w:r>
    </w:p>
    <w:p>
      <w:pPr>
        <w:pStyle w:val="ListBullet"/>
        <w:spacing w:after="80"/>
      </w:pPr>
      <w:r>
        <w:t>Volumen, segmentos, canales y capacidad tecnológica de cada operador.</w:t>
      </w:r>
    </w:p>
    <w:p>
      <w:pPr>
        <w:pStyle w:val="ListBullet"/>
        <w:spacing w:after="80"/>
      </w:pPr>
      <w:r>
        <w:t>Estructura de costos e ingresos aplicable al producto piloto.</w:t>
      </w:r>
    </w:p>
    <w:p>
      <w:pPr>
        <w:pStyle w:val="ListBullet"/>
        <w:spacing w:after="80"/>
      </w:pPr>
      <w:r>
        <w:t>Red de pagos, procesadores y alcance internacional disponible.</w:t>
      </w:r>
    </w:p>
    <w:p>
      <w:pPr>
        <w:pStyle w:val="ListBullet"/>
        <w:spacing w:after="80"/>
      </w:pPr>
      <w:r>
        <w:t>Restricciones regulatorias, contables, fiscales y de prevención de delitos financieros.</w:t>
      </w:r>
    </w:p>
    <w:p>
      <w:pPr>
        <w:pStyle w:val="ListBullet"/>
        <w:spacing w:after="80"/>
      </w:pPr>
      <w:r>
        <w:t>Portafolio de proyectos ambientales potenciales y costos reales de mantenimiento.</w:t>
      </w:r>
    </w:p>
    <w:p>
      <w:pPr>
        <w:pStyle w:val="ListBullet"/>
        <w:spacing w:after="80"/>
      </w:pPr>
      <w:r>
        <w:t>Cadena contractual e identidad jurídica de toda institución financiera invitada.</w:t>
      </w:r>
    </w:p>
    <w:p>
      <w:r>
        <w:br w:type="page"/>
      </w:r>
    </w:p>
    <w:p>
      <w:pPr>
        <w:pStyle w:val="Title"/>
        <w:jc w:val="left"/>
      </w:pPr>
      <w:r>
        <w:rPr>
          <w:color w:val="123D2B"/>
        </w:rPr>
        <w:t>Apéndice B. Referencias institucionales</w:t>
      </w:r>
    </w:p>
    <w:p>
      <w:pPr>
        <w:pStyle w:val="Subtitle"/>
        <w:jc w:val="left"/>
      </w:pPr>
      <w:r>
        <w:t>Fuentes públicas consultadas</w:t>
      </w:r>
    </w:p>
    <w:p>
      <w:pPr>
        <w:pStyle w:val="ListBullet"/>
      </w:pPr>
      <w:r>
        <w:rPr>
          <w:b/>
        </w:rPr>
        <w:t xml:space="preserve">ForestCard / Heart Card — concepto SpaceArch: </w:t>
      </w:r>
      <w:r>
        <w:rPr>
          <w:color w:val="1B5E8A"/>
          <w:u w:val="single"/>
        </w:rPr>
        <w:t>https://globalsolidarity.live/spacearch/human-rights/%f0%9f%8c%b3-forest-card-%e2%9d%a4%ef%b8%8f-heart-card/#gsc.tab=0</w:t>
      </w:r>
    </w:p>
    <w:p>
      <w:pPr>
        <w:pStyle w:val="ListBullet"/>
      </w:pPr>
      <w:r>
        <w:rPr>
          <w:b/>
        </w:rPr>
        <w:t xml:space="preserve">World Bank Group — trabajo con el sector privado: </w:t>
      </w:r>
      <w:r>
        <w:rPr>
          <w:color w:val="1B5E8A"/>
          <w:u w:val="single"/>
        </w:rPr>
        <w:t>https://www.worldbank.org/en/about/partners/the-world-bank-group-and-private-sector/companies</w:t>
      </w:r>
    </w:p>
    <w:p>
      <w:pPr>
        <w:pStyle w:val="ListBullet"/>
      </w:pPr>
      <w:r>
        <w:rPr>
          <w:b/>
        </w:rPr>
        <w:t xml:space="preserve">MIGA / World Bank Group — garantías y movilización de capital: </w:t>
      </w:r>
      <w:r>
        <w:rPr>
          <w:color w:val="1B5E8A"/>
          <w:u w:val="single"/>
        </w:rPr>
        <w:t>https://www.worldbank.org/en/about/annual-report/miga</w:t>
      </w:r>
    </w:p>
    <w:p>
      <w:pPr>
        <w:pStyle w:val="ListBullet"/>
      </w:pPr>
      <w:r>
        <w:rPr>
          <w:b/>
        </w:rPr>
        <w:t xml:space="preserve">First Abu Dhabi Bank — Corporate &amp; Investment Banking: </w:t>
      </w:r>
      <w:r>
        <w:rPr>
          <w:color w:val="1B5E8A"/>
          <w:u w:val="single"/>
        </w:rPr>
        <w:t>https://www.bankfab.com/en-ae/cib</w:t>
      </w:r>
    </w:p>
    <w:p>
      <w:pPr>
        <w:pStyle w:val="ListBullet"/>
      </w:pPr>
      <w:r>
        <w:rPr>
          <w:b/>
        </w:rPr>
        <w:t xml:space="preserve">Naranja X — sitio institucional y servicios: </w:t>
      </w:r>
      <w:r>
        <w:rPr>
          <w:color w:val="1B5E8A"/>
          <w:u w:val="single"/>
        </w:rPr>
        <w:t>https://www.naranjax.com/</w:t>
      </w:r>
    </w:p>
    <w:p>
      <w:pPr>
        <w:pStyle w:val="ListBullet"/>
      </w:pPr>
      <w:r>
        <w:rPr>
          <w:b/>
        </w:rPr>
        <w:t xml:space="preserve">FavaCard — sitio institucional y productos: </w:t>
      </w:r>
      <w:r>
        <w:rPr>
          <w:color w:val="1B5E8A"/>
          <w:u w:val="single"/>
        </w:rPr>
        <w:t>https://favacard.com.ar/</w:t>
      </w:r>
    </w:p>
    <w:p>
      <w:pPr>
        <w:pStyle w:val="Heading2"/>
        <w:keepNext/>
      </w:pPr>
      <w:r>
        <w:t>Nota de alcance</w:t>
      </w:r>
    </w:p>
    <w:p>
      <w:pPr>
        <w:pStyle w:val="BodyText"/>
      </w:pPr>
      <w:r>
        <w:t>Las referencias describen capacidades institucionales generales y no prueban participación, respaldo, garantía ni aprobación del proyecto ForestCard. Toda relación deberá documentarse mediante comunicaciones y acuerdos emitidos por representantes autorizados.</w:t>
      </w:r>
    </w:p>
    <w:p>
      <w:pPr>
        <w:pStyle w:val="Heading2"/>
        <w:keepNext/>
      </w:pPr>
      <w:r>
        <w:t>Próximo documento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288"/>
      </w:tblGrid>
      <w:tr>
        <w:tc>
          <w:tcPr>
            <w:tcW w:type="dxa" w:w="9994"/>
            <w:shd w:fill="FFF4E8"/>
            <w:tcBorders>
              <w:top w:val="single" w:sz="10" w:color="F28C28"/>
              <w:left w:val="single" w:sz="10" w:color="F28C28"/>
              <w:bottom w:val="single" w:sz="10" w:color="F28C28"/>
              <w:right w:val="single" w:sz="10" w:color="F28C28"/>
              <w:insideH w:val="single" w:sz="10" w:color="F28C28"/>
              <w:insideV w:val="single" w:sz="10" w:color="F28C28"/>
            </w:tcBorders>
          </w:tcPr>
          <w:p>
            <w:pPr>
              <w:spacing w:after="80"/>
            </w:pPr>
            <w:r>
              <w:rPr>
                <w:b/>
                <w:color w:val="F28C28"/>
                <w:sz w:val="20"/>
              </w:rPr>
              <w:t>MOU SPACEARCH–FAVA–NARANJA</w:t>
            </w:r>
          </w:p>
          <w:p>
            <w:pPr>
              <w:spacing w:after="40"/>
            </w:pPr>
            <w:r>
              <w:rPr>
                <w:sz w:val="21"/>
              </w:rPr>
              <w:t>Memorando de entendimiento no vinculante para constituir el grupo de trabajo, proteger la propiedad intelectual, distribuir responsabilidades y preparar el piloto argentino.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23" w:bottom="936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6B75"/>
        <w:sz w:val="15"/>
      </w:rPr>
      <w:t>FORESTCARD GLOBAL | Propuesta estratégica confidencial | SpaceArch Solutions International LLC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D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5A049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F28C28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D6B7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59" w:lineRule="auto"/>
    </w:pPr>
    <w:rPr>
      <w:rFonts w:ascii="Aptos" w:hAnsi="Aptos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FORESTCARD GLOBAL — Propuesta estratégica para FavaCard y Naranja X</dc:title>
  <dc:subject>Modelo financiero-climático e internacionalización</dc:subject>
  <dc:creator>Roberto Guillermo Gomes | SpaceArch Solutions International LLC</dc:creator>
  <cp:keywords>ForestCard, SpaceArch, FavaCard, Naranja X, reforestación, fintech, impacto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